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宋体" w:hAnsi="宋体" w:eastAsia="宋体" w:cs="宋体"/>
          <w:b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</w:rPr>
        <w:t>合同流程分支判断存储使用方法</w:t>
      </w:r>
    </w:p>
    <w:p>
      <w:pPr>
        <w:widowControl/>
        <w:shd w:val="clear" w:color="auto" w:fill="FFFFFF"/>
        <w:spacing w:after="312" w:afterLines="100" w:line="360" w:lineRule="auto"/>
        <w:jc w:val="center"/>
        <w:rPr>
          <w:rFonts w:hint="default" w:ascii="宋体" w:hAnsi="宋体" w:eastAsia="宋体" w:cs="宋体"/>
          <w:b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</w:rPr>
        <w:t>Proc_CT_BranchCondition</w:t>
      </w: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  <w:t>存储过程使用方法</w:t>
      </w:r>
    </w:p>
    <w:p>
      <w:pPr>
        <w:widowControl/>
        <w:shd w:val="clear" w:color="auto" w:fill="FFFFFF"/>
        <w:tabs>
          <w:tab w:val="left" w:pos="420"/>
          <w:tab w:val="left" w:pos="567"/>
          <w:tab w:val="left" w:pos="709"/>
        </w:tabs>
        <w:spacing w:line="360" w:lineRule="auto"/>
        <w:rPr>
          <w:rFonts w:hint="default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kern w:val="0"/>
          <w:sz w:val="30"/>
          <w:szCs w:val="30"/>
        </w:rPr>
        <w:tab/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系统流程设置已经无法满足</w:t>
      </w:r>
      <w:r>
        <w:rPr>
          <w:rFonts w:hint="eastAsia" w:ascii="宋体" w:hAnsi="宋体" w:eastAsia="宋体" w:cs="宋体"/>
          <w:kern w:val="0"/>
          <w:sz w:val="30"/>
          <w:szCs w:val="30"/>
        </w:rPr>
        <w:t>《合同收支分类及合同会签职责分工表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_</w:t>
      </w:r>
      <w:r>
        <w:rPr>
          <w:rFonts w:hint="eastAsia" w:ascii="宋体" w:hAnsi="宋体" w:eastAsia="宋体" w:cs="宋体"/>
          <w:kern w:val="0"/>
          <w:sz w:val="30"/>
          <w:szCs w:val="30"/>
        </w:rPr>
        <w:t>项目部发起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_</w:t>
      </w:r>
      <w:r>
        <w:rPr>
          <w:rFonts w:hint="eastAsia" w:ascii="宋体" w:hAnsi="宋体" w:eastAsia="宋体" w:cs="宋体"/>
          <w:kern w:val="0"/>
          <w:sz w:val="30"/>
          <w:szCs w:val="30"/>
        </w:rPr>
        <w:t>2019.12.3</w:t>
      </w:r>
      <w:r>
        <w:rPr>
          <w:rFonts w:ascii="宋体" w:hAnsi="宋体" w:eastAsia="宋体" w:cs="宋体"/>
          <w:kern w:val="0"/>
          <w:sz w:val="30"/>
          <w:szCs w:val="30"/>
        </w:rPr>
        <w:t>》的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分支条件配置</w:t>
      </w:r>
      <w:r>
        <w:rPr>
          <w:rFonts w:ascii="宋体" w:hAnsi="宋体" w:eastAsia="宋体" w:cs="宋体"/>
          <w:kern w:val="0"/>
          <w:sz w:val="30"/>
          <w:szCs w:val="30"/>
        </w:rPr>
        <w:t>要求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新版合同流程将使用ToHeadquarters字段（是否到总部审批）进行总部会签、项目部会签的分支判断。</w:t>
      </w:r>
    </w:p>
    <w:p>
      <w:pPr>
        <w:widowControl/>
        <w:shd w:val="clear" w:color="auto" w:fill="FFFFFF"/>
        <w:tabs>
          <w:tab w:val="left" w:pos="420"/>
          <w:tab w:val="left" w:pos="567"/>
          <w:tab w:val="left" w:pos="709"/>
        </w:tabs>
        <w:spacing w:line="360" w:lineRule="auto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ab/>
        <w:t>该字段默认为数据库中默认为0（0不到总部，1到总部），通过配置流程编制节点执行SQL，执行Proc_CT_BranchCondition存储过程，存储过程会按照CT_BranchCondition（流程分支条件）表的流程分支条件进行比较，并对ToHeadquarters字段进行更新，使用方法进行</w:t>
      </w:r>
      <w:r>
        <w:rPr>
          <w:rFonts w:ascii="宋体" w:hAnsi="宋体" w:eastAsia="宋体" w:cs="宋体"/>
          <w:kern w:val="0"/>
          <w:sz w:val="30"/>
          <w:szCs w:val="30"/>
        </w:rPr>
        <w:t>如下</w:t>
      </w: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CT_BranchCondition表</w:t>
      </w:r>
    </w:p>
    <w:p>
      <w:pPr>
        <w:pStyle w:val="2"/>
        <w:numPr>
          <w:ilvl w:val="0"/>
          <w:numId w:val="2"/>
        </w:numPr>
        <w:spacing w:before="0" w:after="0" w:line="240" w:lineRule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CT_BranchCondition（流程分支条件）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表结构如下：</w:t>
      </w:r>
    </w:p>
    <w:tbl>
      <w:tblPr>
        <w:tblStyle w:val="5"/>
        <w:tblW w:w="1068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547"/>
        <w:gridCol w:w="1725"/>
        <w:gridCol w:w="1394"/>
        <w:gridCol w:w="752"/>
        <w:gridCol w:w="533"/>
        <w:gridCol w:w="783"/>
        <w:gridCol w:w="517"/>
        <w:gridCol w:w="588"/>
        <w:gridCol w:w="574"/>
        <w:gridCol w:w="17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2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数据表中文名称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流程分支条件</w:t>
            </w:r>
          </w:p>
        </w:tc>
        <w:tc>
          <w:tcPr>
            <w:tcW w:w="20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修改说明</w:t>
            </w:r>
          </w:p>
        </w:tc>
        <w:tc>
          <w:tcPr>
            <w:tcW w:w="3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color w:val="FF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2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数据表英文名称</w:t>
            </w:r>
          </w:p>
        </w:tc>
        <w:tc>
          <w:tcPr>
            <w:tcW w:w="861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CT_BranchCondition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2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功能简述</w:t>
            </w:r>
          </w:p>
        </w:tc>
        <w:tc>
          <w:tcPr>
            <w:tcW w:w="861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字段中文名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字段英文名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数据类型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宽度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约束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默认值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空值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枚举&amp;说明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自增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2E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b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修改说明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SysId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PK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newid()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层级属性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ExecDeptType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收支类型ID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InOutTypeId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收支类型名称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InOutTypeName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国内外ID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AreaID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国内外名称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AreaName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分类ID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ClassId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分类名称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ClassName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金额判断条件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BCActContAmtY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decimal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18,4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排序号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OrderNum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Remark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部门编号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DeptId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部门名称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DeptName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编制人编号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CreatorId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编制人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CreatorName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编制日期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CreateOn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datetime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修改人编号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ModifierId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修改人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ModifierName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修改日期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ModifiedOn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datetime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状态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StatusId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(0)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状态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Status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N'编制'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层级编号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DataLevelId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层级编号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DataLevelNo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层级名称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DataLevelName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nvarchar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Arial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  <w:bdr w:val="none" w:color="auto" w:sz="0" w:space="0"/>
                <w:lang w:val="en-US"/>
              </w:rPr>
            </w:pPr>
          </w:p>
        </w:tc>
      </w:tr>
    </w:tbl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将《合同收支分类及合同会签职责分工表_项目部发起_2019.12.3》转换为数据库需要的格式，并导入到数据库中，转换后格式如下：</w:t>
      </w:r>
    </w:p>
    <w:p>
      <w:pPr>
        <w:rPr>
          <w:rFonts w:ascii="宋体" w:hAnsi="宋体" w:eastAsia="宋体" w:cs="宋体"/>
          <w:b w:val="0"/>
          <w:bCs w:val="0"/>
          <w:kern w:val="0"/>
          <w:sz w:val="28"/>
          <w:szCs w:val="28"/>
        </w:rPr>
      </w:pPr>
      <w:r>
        <w:drawing>
          <wp:inline distT="0" distB="0" distL="114300" distR="114300">
            <wp:extent cx="6624955" cy="3248660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24955" cy="324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82" w:type="dxa"/>
          </w:tcPr>
          <w:p>
            <w:pPr>
              <w:spacing w:beforeLines="0" w:afterLines="0"/>
              <w:jc w:val="left"/>
              <w:rPr>
                <w:rFonts w:hint="default" w:eastAsiaTheme="minorEastAsia"/>
                <w:color w:val="0000FF"/>
                <w:sz w:val="20"/>
                <w:lang w:val="en-US" w:eastAsia="zh-CN"/>
              </w:rPr>
            </w:pPr>
            <w:r>
              <w:rPr>
                <w:rFonts w:hint="eastAsia"/>
                <w:color w:val="7F7F7F" w:themeColor="background1" w:themeShade="80"/>
                <w:sz w:val="20"/>
                <w:lang w:val="en-US" w:eastAsia="zh-CN"/>
              </w:rPr>
              <w:t>/*导入SQL*/</w:t>
            </w:r>
          </w:p>
          <w:p>
            <w:pPr>
              <w:spacing w:beforeLines="0" w:afterLines="0"/>
              <w:jc w:val="left"/>
              <w:rPr>
                <w:rFonts w:hint="default"/>
                <w:color w:val="008080"/>
                <w:sz w:val="20"/>
                <w:lang/>
              </w:rPr>
            </w:pPr>
            <w:r>
              <w:rPr>
                <w:rFonts w:hint="default"/>
                <w:color w:val="0000FF"/>
                <w:sz w:val="20"/>
                <w:lang/>
              </w:rPr>
              <w:t>INSERT</w:t>
            </w:r>
            <w:r>
              <w:rPr>
                <w:rFonts w:hint="default"/>
                <w:color w:val="auto"/>
                <w:sz w:val="20"/>
                <w:lang/>
              </w:rPr>
              <w:t xml:space="preserve">  </w:t>
            </w:r>
            <w:r>
              <w:rPr>
                <w:rFonts w:hint="default"/>
                <w:color w:val="0000FF"/>
                <w:sz w:val="20"/>
                <w:lang/>
              </w:rPr>
              <w:t>INTO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008080"/>
                <w:sz w:val="20"/>
                <w:lang/>
              </w:rPr>
              <w:t>CT_BranchCondition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0000FF"/>
                <w:sz w:val="20"/>
                <w:lang/>
              </w:rPr>
              <w:t xml:space="preserve">        </w:t>
            </w:r>
            <w:r>
              <w:rPr>
                <w:rFonts w:hint="default"/>
                <w:color w:val="808080"/>
                <w:sz w:val="20"/>
                <w:lang/>
              </w:rPr>
              <w:t>(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008080"/>
                <w:sz w:val="20"/>
                <w:lang/>
              </w:rPr>
              <w:t>ExecDeptType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InOutTypeId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InOutTypeName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AreaID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AreaName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ClassId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ClassName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0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</w:t>
            </w:r>
            <w:r>
              <w:rPr>
                <w:rFonts w:hint="default"/>
                <w:color w:val="008080"/>
                <w:sz w:val="20"/>
                <w:lang/>
              </w:rPr>
              <w:t>BCActContAmtY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</w:t>
            </w:r>
            <w:r>
              <w:rPr>
                <w:rFonts w:hint="default"/>
                <w:color w:val="808080"/>
                <w:sz w:val="20"/>
                <w:lang/>
              </w:rPr>
              <w:t>)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</w:t>
            </w:r>
            <w:r>
              <w:rPr>
                <w:rFonts w:hint="default"/>
                <w:color w:val="0000FF"/>
                <w:sz w:val="20"/>
                <w:lang/>
              </w:rPr>
              <w:t>SELECT</w:t>
            </w:r>
            <w:r>
              <w:rPr>
                <w:rFonts w:hint="default"/>
                <w:color w:val="auto"/>
                <w:sz w:val="20"/>
                <w:lang/>
              </w:rPr>
              <w:t xml:space="preserve">  </w:t>
            </w:r>
            <w:r>
              <w:rPr>
                <w:rFonts w:hint="default"/>
                <w:color w:val="008080"/>
                <w:sz w:val="20"/>
                <w:lang/>
              </w:rPr>
              <w:t>ExecDeptType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InOutTypeId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InOutTypeName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AreaID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AreaName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ClassId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ClassName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,</w:t>
            </w:r>
          </w:p>
          <w:p>
            <w:pPr>
              <w:spacing w:beforeLines="0" w:afterLines="0"/>
              <w:jc w:val="left"/>
              <w:rPr>
                <w:rFonts w:hint="default"/>
                <w:color w:val="0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        </w:t>
            </w:r>
            <w:r>
              <w:rPr>
                <w:rFonts w:hint="default"/>
                <w:color w:val="008080"/>
                <w:sz w:val="20"/>
                <w:lang/>
              </w:rPr>
              <w:t>BCActContAmtY</w:t>
            </w:r>
          </w:p>
          <w:p>
            <w:pPr>
              <w:spacing w:beforeLines="0" w:afterLines="0"/>
              <w:jc w:val="left"/>
              <w:rPr>
                <w:rFonts w:hint="default"/>
                <w:color w:val="808080"/>
                <w:sz w:val="20"/>
                <w:lang/>
              </w:rPr>
            </w:pPr>
            <w:r>
              <w:rPr>
                <w:rFonts w:hint="default"/>
                <w:color w:val="auto"/>
                <w:sz w:val="20"/>
                <w:lang/>
              </w:rPr>
              <w:t xml:space="preserve">        </w:t>
            </w:r>
            <w:r>
              <w:rPr>
                <w:rFonts w:hint="default"/>
                <w:color w:val="0000FF"/>
                <w:sz w:val="20"/>
                <w:lang/>
              </w:rPr>
              <w:t>FROM</w:t>
            </w:r>
            <w:r>
              <w:rPr>
                <w:rFonts w:hint="default"/>
                <w:color w:val="auto"/>
                <w:sz w:val="20"/>
                <w:lang/>
              </w:rPr>
              <w:t xml:space="preserve">    </w:t>
            </w:r>
            <w:r>
              <w:rPr>
                <w:rFonts w:hint="default"/>
                <w:color w:val="008080"/>
                <w:sz w:val="20"/>
                <w:lang/>
              </w:rPr>
              <w:t>CT_BranchCondition导入模板</w:t>
            </w:r>
            <w:r>
              <w:rPr>
                <w:rFonts w:hint="default"/>
                <w:color w:val="808080"/>
                <w:sz w:val="20"/>
                <w:lang/>
              </w:rPr>
              <w:t>;</w:t>
            </w:r>
          </w:p>
          <w:p>
            <w:pP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</w:rPr>
            </w:pPr>
            <w:r>
              <w:rPr>
                <w:rFonts w:hint="default"/>
                <w:color w:val="0000FF"/>
                <w:sz w:val="20"/>
                <w:lang/>
              </w:rPr>
              <w:t>SELECT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808080"/>
                <w:sz w:val="20"/>
                <w:lang/>
              </w:rPr>
              <w:t>*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0000FF"/>
                <w:sz w:val="20"/>
                <w:lang/>
              </w:rPr>
              <w:t>FROM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  <w:r>
              <w:rPr>
                <w:rFonts w:hint="default"/>
                <w:color w:val="008080"/>
                <w:sz w:val="20"/>
                <w:lang/>
              </w:rPr>
              <w:t>dbo</w:t>
            </w:r>
            <w:r>
              <w:rPr>
                <w:rFonts w:hint="default"/>
                <w:color w:val="808080"/>
                <w:sz w:val="20"/>
                <w:lang/>
              </w:rPr>
              <w:t>.</w:t>
            </w:r>
            <w:r>
              <w:rPr>
                <w:rFonts w:hint="default"/>
                <w:color w:val="008080"/>
                <w:sz w:val="20"/>
                <w:lang/>
              </w:rPr>
              <w:t>CT_BranchCondition</w:t>
            </w:r>
            <w:r>
              <w:rPr>
                <w:rFonts w:hint="default"/>
                <w:color w:val="auto"/>
                <w:sz w:val="20"/>
                <w:lang/>
              </w:rPr>
              <w:t xml:space="preserve">       </w:t>
            </w:r>
            <w:r>
              <w:rPr>
                <w:rFonts w:hint="default"/>
                <w:color w:val="808080"/>
                <w:sz w:val="20"/>
                <w:lang/>
              </w:rPr>
              <w:t>;</w:t>
            </w:r>
            <w:r>
              <w:rPr>
                <w:rFonts w:hint="default"/>
                <w:color w:val="auto"/>
                <w:sz w:val="20"/>
                <w:lang/>
              </w:rPr>
              <w:t xml:space="preserve"> </w:t>
            </w:r>
          </w:p>
        </w:tc>
      </w:tr>
    </w:tbl>
    <w:p>
      <w:pPr>
        <w:rPr>
          <w:rFonts w:ascii="宋体" w:hAnsi="宋体" w:eastAsia="宋体" w:cs="宋体"/>
          <w:b w:val="0"/>
          <w:bCs w:val="0"/>
          <w:kern w:val="0"/>
          <w:sz w:val="28"/>
          <w:szCs w:val="28"/>
        </w:rPr>
      </w:pPr>
    </w:p>
    <w:p>
      <w:pPr>
        <w:pStyle w:val="2"/>
        <w:numPr>
          <w:ilvl w:val="0"/>
          <w:numId w:val="3"/>
        </w:numPr>
        <w:spacing w:before="0" w:after="0" w:line="24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</w:rPr>
        <w:t>Proc_CT_BranchCondition存储过程</w:t>
      </w:r>
    </w:p>
    <w:p>
      <w:pPr>
        <w:pStyle w:val="2"/>
        <w:spacing w:before="0" w:after="0" w:line="240" w:lineRule="auto"/>
        <w:ind w:firstLine="420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Proc_CT_BranchCondition存储过程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将根据传入的合同会签单SysID，查询出该合同会签单的相关信息，并与CT_BranchCondition表的信息进行比较，判断出ToHeadquarters字段的0、1，并进行UPDATE回写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；</w:t>
      </w:r>
    </w:p>
    <w:p>
      <w:r>
        <w:drawing>
          <wp:inline distT="0" distB="0" distL="114300" distR="114300">
            <wp:extent cx="6631940" cy="3193415"/>
            <wp:effectExtent l="0" t="0" r="1651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1940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3"/>
        </w:numPr>
        <w:spacing w:before="0" w:after="0" w:line="24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  <w:lang w:val="en-US" w:eastAsia="zh-CN"/>
        </w:rPr>
        <w:t>流程配置</w:t>
      </w:r>
    </w:p>
    <w:p>
      <w:pPr>
        <w:pStyle w:val="2"/>
        <w:numPr>
          <w:ilvl w:val="0"/>
          <w:numId w:val="4"/>
        </w:numPr>
        <w:spacing w:before="0" w:after="0" w:line="240" w:lineRule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设置编制节点的同意类型为SQL语句，并在同意动作里追加EXEC Proc_CT_BranchCondition '[EntityID]'; 示例如下：</w:t>
      </w:r>
    </w:p>
    <w:p>
      <w:r>
        <w:drawing>
          <wp:inline distT="0" distB="0" distL="114300" distR="114300">
            <wp:extent cx="6642100" cy="3063875"/>
            <wp:effectExtent l="0" t="0" r="635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4"/>
        </w:numPr>
        <w:spacing w:before="0" w:after="0" w:line="240" w:lineRule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设置到总部会签的分支SQL为"[ToHeadquarters]" == "1"，到项目部会签的SQL为"[ToHeadquarters]" == "0"</w:t>
      </w:r>
    </w:p>
    <w:p>
      <w:pP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642735" cy="3253105"/>
            <wp:effectExtent l="0" t="0" r="571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32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numPr>
          <w:ilvl w:val="0"/>
          <w:numId w:val="3"/>
        </w:numPr>
        <w:spacing w:before="0" w:after="0" w:line="24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</w:rPr>
        <w:t xml:space="preserve"> 总部发起</w:t>
      </w:r>
      <w:r>
        <w:rPr>
          <w:rFonts w:hint="eastAsia" w:ascii="宋体" w:hAnsi="宋体" w:eastAsia="宋体"/>
          <w:lang w:val="en-US" w:eastAsia="zh-CN"/>
        </w:rPr>
        <w:t>流程</w:t>
      </w:r>
    </w:p>
    <w:p>
      <w:pPr>
        <w:pStyle w:val="2"/>
        <w:spacing w:before="0" w:after="0" w:line="240" w:lineRule="auto"/>
        <w:ind w:firstLine="420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设置编制节点的同意类型为SQL语句，并在同意动作里追加UPDATE CT_Countersign SET ToHeadquarters='1' WHERE SysId = '[EntityID]'; 示例如下：</w:t>
      </w:r>
    </w:p>
    <w:p>
      <w:r>
        <w:drawing>
          <wp:inline distT="0" distB="0" distL="114300" distR="114300">
            <wp:extent cx="6633845" cy="3159125"/>
            <wp:effectExtent l="0" t="0" r="14605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315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E9566C"/>
    <w:multiLevelType w:val="singleLevel"/>
    <w:tmpl w:val="92E956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446E80"/>
    <w:multiLevelType w:val="singleLevel"/>
    <w:tmpl w:val="B2446E8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2C567AB8"/>
    <w:multiLevelType w:val="singleLevel"/>
    <w:tmpl w:val="2C567AB8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>
    <w:nsid w:val="4ACB1276"/>
    <w:multiLevelType w:val="multilevel"/>
    <w:tmpl w:val="4ACB12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21162A"/>
    <w:rsid w:val="00D5030A"/>
    <w:rsid w:val="00FC50D3"/>
    <w:rsid w:val="15341D04"/>
    <w:rsid w:val="414A42AE"/>
    <w:rsid w:val="701208AF"/>
    <w:rsid w:val="7DF000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2"/>
      <w:szCs w:val="22"/>
      <w:lang w:val="zh-CN" w:eastAsia="en-US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2"/>
      <w:szCs w:val="22"/>
      <w:lang w:val="zh-CN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  <w:style w:type="character" w:customStyle="1" w:styleId="6">
    <w:name w:val="标题 2 字符"/>
    <w:basedOn w:val="3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374</Words>
  <Characters>2133</Characters>
  <Lines>17</Lines>
  <Paragraphs>5</Paragraphs>
  <TotalTime>4</TotalTime>
  <ScaleCrop>false</ScaleCrop>
  <LinksUpToDate>false</LinksUpToDate>
  <CharactersWithSpaces>2502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2019-10-21T08:30:00Z</dcterms:created>
  <dc:creator>赵 峰伟</dc:creator>
  <cp:lastModifiedBy>TH</cp:lastModifiedBy>
  <dcterms:modified xsi:type="dcterms:W3CDTF">2020-01-13T05:48:48Z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